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F00B9" w:rsidP="2B7AF9DD" w:rsidRDefault="00EF00B9" w14:paraId="672A6659" w14:textId="05EAE3BB">
      <w:r w:rsidRPr="2B7AF9DD">
        <w:rPr>
          <w:sz w:val="52"/>
          <w:szCs w:val="52"/>
        </w:rPr>
        <w:t>Preschool emergency and evacuation procedure</w:t>
      </w:r>
      <w:r w:rsidRPr="2B7AF9DD" w:rsidR="77E788F1">
        <w:rPr>
          <w:sz w:val="52"/>
          <w:szCs w:val="52"/>
        </w:rPr>
        <w:t xml:space="preserve"> </w:t>
      </w:r>
      <w:r w:rsidR="77E788F1">
        <w:rPr>
          <w:noProof/>
        </w:rPr>
        <w:drawing>
          <wp:anchor distT="0" distB="0" distL="114300" distR="114300" simplePos="0" relativeHeight="251658240" behindDoc="0" locked="0" layoutInCell="1" allowOverlap="1" wp14:anchorId="19AE8496" wp14:editId="4FF6FF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70527" cy="1025922"/>
            <wp:effectExtent l="0" t="0" r="0" b="0"/>
            <wp:wrapSquare wrapText="bothSides"/>
            <wp:docPr id="729479645" name="Picture 72947964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27" cy="102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W w:w="10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693"/>
        <w:gridCol w:w="5725"/>
      </w:tblGrid>
      <w:tr w:rsidR="00EF00B9" w:rsidTr="12195805" w14:paraId="5171C37C" w14:textId="77777777">
        <w:trPr>
          <w:cantSplit/>
          <w:tblHeader/>
        </w:trPr>
        <w:tc>
          <w:tcPr>
            <w:tcW w:w="1925" w:type="dxa"/>
            <w:shd w:val="clear" w:color="auto" w:fill="002060"/>
            <w:tcMar/>
          </w:tcPr>
          <w:p w:rsidR="2B7AF9DD" w:rsidP="2B7AF9DD" w:rsidRDefault="2B7AF9DD" w14:paraId="2E03FA03" w14:textId="0A245B4E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b/>
                <w:bCs/>
                <w:color w:val="FFFFFF" w:themeColor="background1"/>
              </w:rPr>
              <w:t>National Quality Standard Education and Care Services National Law and National Regulations</w:t>
            </w:r>
          </w:p>
        </w:tc>
        <w:tc>
          <w:tcPr>
            <w:tcW w:w="2693" w:type="dxa"/>
            <w:shd w:val="clear" w:color="auto" w:fill="002060"/>
            <w:tcMar/>
          </w:tcPr>
          <w:p w:rsidR="2B7AF9DD" w:rsidP="2B7AF9DD" w:rsidRDefault="2B7AF9DD" w14:paraId="691DE479" w14:textId="5CAB4445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b/>
                <w:bCs/>
                <w:color w:val="FFFFFF" w:themeColor="background1"/>
              </w:rPr>
              <w:t>Associated department policy, procedure or guideline</w:t>
            </w:r>
          </w:p>
        </w:tc>
        <w:tc>
          <w:tcPr>
            <w:tcW w:w="5725" w:type="dxa"/>
            <w:shd w:val="clear" w:color="auto" w:fill="002060"/>
            <w:tcMar/>
          </w:tcPr>
          <w:p w:rsidR="2B7AF9DD" w:rsidP="2B7AF9DD" w:rsidRDefault="2B7AF9DD" w14:paraId="5255F03D" w14:textId="518E94C8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b/>
                <w:bCs/>
                <w:color w:val="FFFFFF" w:themeColor="background1"/>
              </w:rPr>
              <w:t>Reference document(s) and/or advice from a recognised authority</w:t>
            </w:r>
          </w:p>
        </w:tc>
      </w:tr>
      <w:tr w:rsidR="00EF00B9" w:rsidTr="12195805" w14:paraId="52D7322B" w14:textId="77777777">
        <w:trPr>
          <w:cantSplit/>
        </w:trPr>
        <w:tc>
          <w:tcPr>
            <w:tcW w:w="1925" w:type="dxa"/>
            <w:tcMar/>
          </w:tcPr>
          <w:p w:rsidR="2B7AF9DD" w:rsidP="2B7AF9DD" w:rsidRDefault="2B7AF9DD" w14:paraId="6D6032A4" w14:textId="438E2336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b/>
                <w:bCs/>
                <w:color w:val="000000" w:themeColor="text1"/>
              </w:rPr>
              <w:t>NQS: 2.2</w:t>
            </w:r>
          </w:p>
          <w:p w:rsidR="2B7AF9DD" w:rsidP="2B7AF9DD" w:rsidRDefault="2B7AF9DD" w14:paraId="192D175C" w14:textId="53BE5AB3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b/>
                <w:bCs/>
                <w:color w:val="000000" w:themeColor="text1"/>
              </w:rPr>
              <w:t>Regulations: 97, 98</w:t>
            </w:r>
          </w:p>
        </w:tc>
        <w:tc>
          <w:tcPr>
            <w:tcW w:w="2693" w:type="dxa"/>
            <w:tcMar/>
          </w:tcPr>
          <w:p w:rsidR="2B7AF9DD" w:rsidP="2B7AF9DD" w:rsidRDefault="00000000" w14:paraId="0C547D20" w14:textId="73278AE8">
            <w:pPr>
              <w:spacing w:before="240" w:after="120" w:line="360" w:lineRule="auto"/>
            </w:pPr>
            <w:hyperlink r:id="rId9">
              <w:r w:rsidRPr="2B7AF9DD" w:rsidR="2B7AF9DD">
                <w:rPr>
                  <w:rStyle w:val="Hyperlink"/>
                  <w:rFonts w:ascii="Arial" w:hAnsi="Arial" w:eastAsia="Arial" w:cs="Arial"/>
                  <w:color w:val="002664"/>
                </w:rPr>
                <w:t>Leading and operating department preschool guidelines</w:t>
              </w:r>
            </w:hyperlink>
          </w:p>
          <w:p w:rsidR="2B7AF9DD" w:rsidP="2B7AF9DD" w:rsidRDefault="00000000" w14:paraId="0A3C8A20" w14:textId="779323C5">
            <w:pPr>
              <w:spacing w:before="240" w:after="120" w:line="360" w:lineRule="auto"/>
            </w:pPr>
            <w:hyperlink r:id="rId10">
              <w:r w:rsidRPr="2B7AF9DD" w:rsidR="2B7AF9DD">
                <w:rPr>
                  <w:rStyle w:val="Hyperlink"/>
                  <w:rFonts w:ascii="Arial" w:hAnsi="Arial" w:eastAsia="Arial" w:cs="Arial"/>
                  <w:color w:val="002664"/>
                </w:rPr>
                <w:t>Emergency Management</w:t>
              </w:r>
            </w:hyperlink>
          </w:p>
        </w:tc>
        <w:tc>
          <w:tcPr>
            <w:tcW w:w="5725" w:type="dxa"/>
            <w:tcMar/>
          </w:tcPr>
          <w:p w:rsidR="2B7AF9DD" w:rsidP="2B7AF9DD" w:rsidRDefault="00000000" w14:paraId="4C410752" w14:textId="64F86A82">
            <w:pPr>
              <w:spacing w:before="240" w:after="120" w:line="360" w:lineRule="auto"/>
            </w:pPr>
            <w:hyperlink r:id="rId11">
              <w:r w:rsidRPr="2B7AF9DD" w:rsidR="2B7AF9DD">
                <w:rPr>
                  <w:rStyle w:val="Hyperlink"/>
                  <w:rFonts w:ascii="Arial" w:hAnsi="Arial" w:eastAsia="Arial" w:cs="Arial"/>
                  <w:color w:val="002664"/>
                </w:rPr>
                <w:t>Consulting Relevant Authorities, Communication and Notifications</w:t>
              </w:r>
            </w:hyperlink>
          </w:p>
          <w:p w:rsidR="2B7AF9DD" w:rsidP="2B7AF9DD" w:rsidRDefault="00000000" w14:paraId="766A3770" w14:textId="7E1270A7">
            <w:pPr>
              <w:spacing w:before="240" w:after="120" w:line="360" w:lineRule="auto"/>
            </w:pPr>
            <w:hyperlink r:id="rId12">
              <w:r w:rsidRPr="2B7AF9DD" w:rsidR="2B7AF9DD">
                <w:rPr>
                  <w:rStyle w:val="Hyperlink"/>
                  <w:rFonts w:ascii="Arial" w:hAnsi="Arial" w:eastAsia="Arial" w:cs="Arial"/>
                  <w:color w:val="002664"/>
                </w:rPr>
                <w:t>Emergency and evacuation rehearsals</w:t>
              </w:r>
            </w:hyperlink>
          </w:p>
          <w:p w:rsidR="2B7AF9DD" w:rsidP="2B7AF9DD" w:rsidRDefault="2B7AF9DD" w14:paraId="42E52A20" w14:textId="7E7043DC">
            <w:pPr>
              <w:spacing w:before="240" w:after="120" w:line="360" w:lineRule="auto"/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 xml:space="preserve">ACECQA’s policy and procedures guidelines – </w:t>
            </w:r>
            <w:hyperlink r:id="rId13">
              <w:r w:rsidRPr="2B7AF9DD">
                <w:rPr>
                  <w:rStyle w:val="Hyperlink"/>
                  <w:rFonts w:ascii="Arial" w:hAnsi="Arial" w:eastAsia="Arial" w:cs="Arial"/>
                  <w:color w:val="002664"/>
                </w:rPr>
                <w:t>Emergency and evacuation [PDF 451 KB]</w:t>
              </w:r>
            </w:hyperlink>
          </w:p>
        </w:tc>
      </w:tr>
      <w:tr w:rsidR="00EF00B9" w:rsidTr="12195805" w14:paraId="30539B99" w14:textId="77777777">
        <w:trPr>
          <w:cantSplit/>
        </w:trPr>
        <w:tc>
          <w:tcPr>
            <w:tcW w:w="10343" w:type="dxa"/>
            <w:gridSpan w:val="3"/>
            <w:tcMar/>
          </w:tcPr>
          <w:p w:rsidR="00EF00B9" w:rsidRDefault="00EF00B9" w14:paraId="1DD3CEC8" w14:textId="77777777">
            <w:pPr>
              <w:rPr>
                <w:b/>
              </w:rPr>
            </w:pPr>
            <w:r>
              <w:rPr>
                <w:b/>
              </w:rPr>
              <w:t>Pre-reading and reference documents</w:t>
            </w:r>
          </w:p>
        </w:tc>
      </w:tr>
      <w:tr w:rsidR="00EF00B9" w:rsidTr="12195805" w14:paraId="34984D96" w14:textId="77777777">
        <w:trPr>
          <w:cantSplit/>
        </w:trPr>
        <w:tc>
          <w:tcPr>
            <w:tcW w:w="10343" w:type="dxa"/>
            <w:gridSpan w:val="3"/>
            <w:tcMar/>
          </w:tcPr>
          <w:p w:rsidR="00EF00B9" w:rsidRDefault="00000000" w14:paraId="3647C57D" w14:textId="77777777">
            <w:hyperlink r:id="rId14">
              <w:r w:rsidR="00EF00B9">
                <w:rPr>
                  <w:color w:val="2F5496"/>
                  <w:u w:val="single"/>
                </w:rPr>
                <w:t>Emergency and incident management resources</w:t>
              </w:r>
            </w:hyperlink>
          </w:p>
          <w:p w:rsidR="00EF00B9" w:rsidRDefault="00000000" w14:paraId="12FB2FF5" w14:textId="77777777">
            <w:hyperlink w:anchor="Emergency1" r:id="rId15">
              <w:r w:rsidR="00EF00B9">
                <w:rPr>
                  <w:color w:val="2F5496"/>
                  <w:u w:val="single"/>
                </w:rPr>
                <w:t>Relevant emergency authorities</w:t>
              </w:r>
            </w:hyperlink>
          </w:p>
          <w:p w:rsidR="00EF00B9" w:rsidRDefault="00000000" w14:paraId="14CD836F" w14:textId="77777777">
            <w:hyperlink r:id="rId16">
              <w:r w:rsidR="00EF00B9">
                <w:rPr>
                  <w:color w:val="2F5496"/>
                  <w:u w:val="single"/>
                </w:rPr>
                <w:t>Incident response plan (crash card)</w:t>
              </w:r>
            </w:hyperlink>
          </w:p>
          <w:p w:rsidR="00EF00B9" w:rsidRDefault="00000000" w14:paraId="08083984" w14:textId="77777777">
            <w:hyperlink w:anchor="Emergency1" r:id="rId17">
              <w:r w:rsidR="00EF00B9">
                <w:rPr>
                  <w:color w:val="2F5496"/>
                  <w:u w:val="single"/>
                </w:rPr>
                <w:t>Sample communications plan</w:t>
              </w:r>
            </w:hyperlink>
          </w:p>
          <w:p w:rsidR="00EF00B9" w:rsidRDefault="00000000" w14:paraId="0BFBC0CC" w14:textId="77777777">
            <w:pPr>
              <w:rPr>
                <w:color w:val="2F5496"/>
                <w:u w:val="single"/>
              </w:rPr>
            </w:pPr>
            <w:hyperlink r:id="rId18">
              <w:r w:rsidR="00EF00B9">
                <w:rPr>
                  <w:color w:val="2F5496"/>
                  <w:u w:val="single"/>
                </w:rPr>
                <w:t>Emergency Response Exercise Debrief and Report Template</w:t>
              </w:r>
            </w:hyperlink>
          </w:p>
          <w:p w:rsidR="00EF00B9" w:rsidRDefault="00000000" w14:paraId="483CC4E4" w14:textId="77777777">
            <w:pPr>
              <w:rPr>
                <w:sz w:val="16"/>
                <w:szCs w:val="16"/>
              </w:rPr>
            </w:pPr>
            <w:hyperlink r:id="rId19">
              <w:r w:rsidR="00EF00B9">
                <w:rPr>
                  <w:color w:val="2F5496"/>
                  <w:u w:val="single"/>
                </w:rPr>
                <w:t>Emergency evacuation procedure rehearsals</w:t>
              </w:r>
            </w:hyperlink>
          </w:p>
          <w:p w:rsidR="00EF00B9" w:rsidRDefault="00EF00B9" w14:paraId="5DAB6C7B" w14:textId="77777777">
            <w:pPr>
              <w:rPr>
                <w:b/>
              </w:rPr>
            </w:pPr>
          </w:p>
        </w:tc>
      </w:tr>
      <w:tr w:rsidR="00EF00B9" w:rsidTr="12195805" w14:paraId="6D806FE4" w14:textId="77777777">
        <w:trPr>
          <w:cantSplit/>
        </w:trPr>
        <w:tc>
          <w:tcPr>
            <w:tcW w:w="10343" w:type="dxa"/>
            <w:gridSpan w:val="3"/>
            <w:tcMar/>
          </w:tcPr>
          <w:p w:rsidR="00EF00B9" w:rsidRDefault="00EF00B9" w14:paraId="7A362821" w14:textId="77777777">
            <w:pPr>
              <w:rPr>
                <w:b/>
              </w:rPr>
            </w:pPr>
            <w:r>
              <w:rPr>
                <w:b/>
              </w:rPr>
              <w:t>Staff roles and responsibilities</w:t>
            </w:r>
          </w:p>
        </w:tc>
      </w:tr>
      <w:tr w:rsidR="00EF00B9" w:rsidTr="12195805" w14:paraId="0EA2C280" w14:textId="77777777">
        <w:trPr>
          <w:cantSplit/>
        </w:trPr>
        <w:tc>
          <w:tcPr>
            <w:tcW w:w="1925" w:type="dxa"/>
            <w:tcMar/>
          </w:tcPr>
          <w:p w:rsidR="00EF00B9" w:rsidRDefault="00EF00B9" w14:paraId="6BC8DCC3" w14:textId="77777777">
            <w:pPr>
              <w:spacing w:after="192" w:line="276" w:lineRule="auto"/>
              <w:rPr>
                <w:b/>
              </w:rPr>
            </w:pPr>
            <w:r>
              <w:rPr>
                <w:b/>
              </w:rPr>
              <w:lastRenderedPageBreak/>
              <w:t>School principal</w:t>
            </w:r>
          </w:p>
          <w:p w:rsidR="00EF00B9" w:rsidRDefault="00EF00B9" w14:paraId="491A0DAB" w14:textId="77777777">
            <w:pPr>
              <w:rPr>
                <w:b/>
              </w:rPr>
            </w:pPr>
            <w:r>
              <w:t>(These tasks may be delegated to other members of the preschool team, but responsibility sits with the principal.)</w:t>
            </w:r>
          </w:p>
        </w:tc>
        <w:tc>
          <w:tcPr>
            <w:tcW w:w="8418" w:type="dxa"/>
            <w:gridSpan w:val="2"/>
            <w:tcMar/>
          </w:tcPr>
          <w:p w:rsidR="00EF00B9" w:rsidRDefault="00EF00B9" w14:paraId="35BF9D30" w14:textId="77777777">
            <w:pPr>
              <w:spacing w:line="276" w:lineRule="auto"/>
            </w:pPr>
            <w:r>
              <w:t xml:space="preserve">The principal as Nominated Supervisor, Educational Leader and Responsible Person holds primary responsibility for the preschool. </w:t>
            </w:r>
          </w:p>
          <w:p w:rsidR="00EF00B9" w:rsidRDefault="00EF00B9" w14:paraId="4B4E1001" w14:textId="77777777">
            <w:pPr>
              <w:spacing w:line="276" w:lineRule="auto"/>
            </w:pPr>
            <w:r>
              <w:t>The principal is responsible for ensuring:</w:t>
            </w:r>
          </w:p>
          <w:p w:rsidR="00EF00B9" w:rsidP="00EF00B9" w:rsidRDefault="00EF00B9" w14:paraId="0F6AE557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the preschool is compliant with legislative standards related to this procedure at all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times</w:t>
            </w:r>
            <w:proofErr w:type="gramEnd"/>
          </w:p>
          <w:p w:rsidR="00EF00B9" w:rsidP="00EF00B9" w:rsidRDefault="00EF00B9" w14:paraId="5A4337C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all staff involved in the preschool are familiar with and implement this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procedure</w:t>
            </w:r>
            <w:proofErr w:type="gramEnd"/>
          </w:p>
          <w:p w:rsidR="00EF00B9" w:rsidP="00EF00B9" w:rsidRDefault="00EF00B9" w14:paraId="07D1E199" w14:textId="77777777">
            <w:pPr>
              <w:keepNext/>
              <w:widowControl w:val="0"/>
              <w:numPr>
                <w:ilvl w:val="0"/>
                <w:numId w:val="3"/>
              </w:numPr>
              <w:spacing w:after="0" w:line="276" w:lineRule="auto"/>
            </w:pPr>
            <w:r w:rsidRPr="62C0EE2A">
              <w:t>all procedures are current and reviewed as part of a continuous cycle of self- assessment.</w:t>
            </w:r>
          </w:p>
          <w:p w:rsidR="00EF00B9" w:rsidP="00EF00B9" w:rsidRDefault="00EF00B9" w14:paraId="515F2AD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analysing complaints, incidents or issues and what the implications are for the updates to this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procedure</w:t>
            </w:r>
            <w:proofErr w:type="gramEnd"/>
          </w:p>
          <w:p w:rsidR="00EF00B9" w:rsidP="00EF00B9" w:rsidRDefault="00EF00B9" w14:paraId="1AE3C927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reflecting on how this procedure is informed by relevant recognised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authorities</w:t>
            </w:r>
            <w:proofErr w:type="gramEnd"/>
          </w:p>
          <w:p w:rsidR="00EF00B9" w:rsidRDefault="00EF00B9" w14:paraId="02EB378F" w14:textId="77777777">
            <w:pPr>
              <w:spacing w:line="276" w:lineRule="auto"/>
              <w:ind w:left="720"/>
            </w:pPr>
          </w:p>
          <w:p w:rsidR="00EF00B9" w:rsidRDefault="00EF00B9" w14:paraId="18C846F0" w14:textId="7777777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The principal ensures that a serious incident notification is made to Early Learning within 24 hours when there has been an emergency at the preschool that posed a risk to the health, safety or wellbeing of the children.  </w:t>
            </w:r>
          </w:p>
          <w:p w:rsidR="00EF00B9" w:rsidRDefault="00EF00B9" w14:paraId="6A05A809" w14:textId="77777777">
            <w:pPr>
              <w:rPr>
                <w:highlight w:val="yellow"/>
              </w:rPr>
            </w:pPr>
          </w:p>
        </w:tc>
      </w:tr>
      <w:tr w:rsidR="00EF00B9" w:rsidTr="12195805" w14:paraId="4A1C2204" w14:textId="77777777">
        <w:trPr>
          <w:cantSplit/>
        </w:trPr>
        <w:tc>
          <w:tcPr>
            <w:tcW w:w="1925" w:type="dxa"/>
            <w:tcMar/>
          </w:tcPr>
          <w:p w:rsidR="00EF00B9" w:rsidRDefault="00EF00B9" w14:paraId="7E8723D1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Preschool educators</w:t>
            </w:r>
          </w:p>
          <w:p w:rsidR="00EF00B9" w:rsidRDefault="00EF00B9" w14:paraId="5A39BBE3" w14:textId="77777777"/>
        </w:tc>
        <w:tc>
          <w:tcPr>
            <w:tcW w:w="8418" w:type="dxa"/>
            <w:gridSpan w:val="2"/>
            <w:tcMar/>
          </w:tcPr>
          <w:p w:rsidR="00EF00B9" w:rsidRDefault="00EF00B9" w14:paraId="6763295B" w14:textId="77777777">
            <w:pPr>
              <w:spacing w:line="276" w:lineRule="auto"/>
            </w:pPr>
            <w:r>
              <w:t>The preschool educators are responsible for working with leadership to ensure:</w:t>
            </w:r>
          </w:p>
          <w:p w:rsidR="00EF00B9" w:rsidP="00EF00B9" w:rsidRDefault="00EF00B9" w14:paraId="315AD73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all staff in the preschool and daily practices comply with this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procedure</w:t>
            </w:r>
            <w:proofErr w:type="gramEnd"/>
          </w:p>
          <w:p w:rsidR="00EF00B9" w:rsidP="00EF00B9" w:rsidRDefault="00EF00B9" w14:paraId="3FB6C2E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storing this procedure in the preschool, and making it accessible to all staff, families, visitors and volunteers</w:t>
            </w:r>
          </w:p>
          <w:p w:rsidR="00EF00B9" w:rsidP="00EF00B9" w:rsidRDefault="00EF00B9" w14:paraId="0499923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being actively involved in the review of this procedure, as required, or at least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annually</w:t>
            </w:r>
            <w:proofErr w:type="gramEnd"/>
          </w:p>
          <w:p w:rsidR="00EF00B9" w:rsidP="00EF00B9" w:rsidRDefault="00EF00B9" w14:paraId="6950D38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ensuring the details of this procedure’s review are documented.</w:t>
            </w:r>
          </w:p>
          <w:p w:rsidR="00EF00B9" w:rsidP="00EF00B9" w:rsidRDefault="00EF00B9" w14:paraId="45B1EB1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planning and discussing ways to engage with families and communities, including how changes are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communicated</w:t>
            </w:r>
            <w:proofErr w:type="gramEnd"/>
          </w:p>
          <w:p w:rsidR="00EF00B9" w:rsidP="00EF00B9" w:rsidRDefault="00EF00B9" w14:paraId="555FC537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developing strategies to induct all staff when procedures are updated to ensure practice is embedded.) </w:t>
            </w:r>
          </w:p>
          <w:p w:rsidR="00EF00B9" w:rsidRDefault="00EF00B9" w14:paraId="41C8F3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20"/>
              <w:rPr>
                <w:rFonts w:eastAsia="Montserrat" w:cs="Montserrat"/>
                <w:color w:val="000000"/>
              </w:rPr>
            </w:pPr>
          </w:p>
          <w:p w:rsidR="00EF00B9" w:rsidRDefault="00EF00B9" w14:paraId="72A3D3EC" w14:textId="77777777">
            <w:pPr>
              <w:ind w:left="1440"/>
            </w:pPr>
          </w:p>
        </w:tc>
      </w:tr>
      <w:tr w:rsidR="00EF00B9" w:rsidTr="12195805" w14:paraId="6B5AB5D5" w14:textId="77777777">
        <w:trPr>
          <w:cantSplit/>
        </w:trPr>
        <w:tc>
          <w:tcPr>
            <w:tcW w:w="10343" w:type="dxa"/>
            <w:gridSpan w:val="3"/>
            <w:tcMar/>
          </w:tcPr>
          <w:p w:rsidR="00EF00B9" w:rsidRDefault="00EF00B9" w14:paraId="04235287" w14:textId="77777777">
            <w:pPr>
              <w:rPr>
                <w:b/>
              </w:rPr>
            </w:pPr>
            <w:r>
              <w:rPr>
                <w:b/>
              </w:rPr>
              <w:t>Procedure</w:t>
            </w:r>
          </w:p>
        </w:tc>
      </w:tr>
      <w:tr w:rsidR="00EF00B9" w:rsidTr="12195805" w14:paraId="2A6D85B9" w14:textId="77777777">
        <w:trPr>
          <w:cantSplit/>
        </w:trPr>
        <w:tc>
          <w:tcPr>
            <w:tcW w:w="1925" w:type="dxa"/>
            <w:shd w:val="clear" w:color="auto" w:fill="auto"/>
            <w:tcMar/>
          </w:tcPr>
          <w:p w:rsidR="00EF00B9" w:rsidRDefault="00EF00B9" w14:paraId="3D3E77CC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Planning and displayed information</w:t>
            </w:r>
          </w:p>
        </w:tc>
        <w:tc>
          <w:tcPr>
            <w:tcW w:w="8418" w:type="dxa"/>
            <w:gridSpan w:val="2"/>
            <w:shd w:val="clear" w:color="auto" w:fill="auto"/>
            <w:tcMar/>
          </w:tcPr>
          <w:p w:rsidR="00EF00B9" w:rsidP="12195805" w:rsidRDefault="00EF00B9" w14:paraId="2B377E57" w14:textId="621A3A49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80" w:after="0" w:line="276" w:lineRule="auto"/>
              <w:rPr>
                <w:rFonts w:eastAsia="Montserrat" w:cs="Montserrat"/>
                <w:color w:val="FF0000"/>
              </w:rPr>
            </w:pPr>
            <w:r w:rsidRPr="12195805" w:rsidR="00EF00B9">
              <w:rPr>
                <w:rFonts w:eastAsia="Montserrat" w:cs="Montserrat"/>
                <w:color w:val="000000" w:themeColor="text1" w:themeTint="FF" w:themeShade="FF"/>
              </w:rPr>
              <w:t xml:space="preserve">This procedure is informed by the whole school </w:t>
            </w:r>
            <w:r w:rsidRPr="12195805" w:rsidR="00EF00B9">
              <w:rPr>
                <w:rFonts w:eastAsia="Montserrat" w:cs="Montserrat"/>
                <w:i w:val="1"/>
                <w:iCs w:val="1"/>
                <w:color w:val="000000" w:themeColor="text1" w:themeTint="FF" w:themeShade="FF"/>
              </w:rPr>
              <w:t xml:space="preserve">Emergency Management Plan, </w:t>
            </w:r>
            <w:r w:rsidRPr="12195805" w:rsidR="00EF00B9">
              <w:rPr>
                <w:rFonts w:eastAsia="Montserrat" w:cs="Montserrat"/>
                <w:color w:val="000000" w:themeColor="text1" w:themeTint="FF" w:themeShade="FF"/>
              </w:rPr>
              <w:t>which</w:t>
            </w:r>
            <w:r w:rsidRPr="12195805" w:rsidR="00EF00B9">
              <w:rPr>
                <w:rFonts w:eastAsia="Montserrat" w:cs="Montserrat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12195805" w:rsidR="00EF00B9">
              <w:rPr>
                <w:rFonts w:eastAsia="Montserrat" w:cs="Montserrat"/>
                <w:color w:val="000000" w:themeColor="text1" w:themeTint="FF" w:themeShade="FF"/>
              </w:rPr>
              <w:t>details emergency</w:t>
            </w:r>
            <w:r w:rsidRPr="12195805" w:rsidR="00EF00B9">
              <w:rPr>
                <w:rFonts w:eastAsia="Montserrat" w:cs="Montserrat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12195805" w:rsidR="00EF00B9">
              <w:rPr>
                <w:rFonts w:eastAsia="Montserrat" w:cs="Montserrat"/>
                <w:color w:val="000000" w:themeColor="text1" w:themeTint="FF" w:themeShade="FF"/>
              </w:rPr>
              <w:t>authorities consulted in its development. The preschool educators are informed o</w:t>
            </w:r>
            <w:r w:rsidRPr="12195805" w:rsidR="0D3825A8">
              <w:rPr>
                <w:rFonts w:eastAsia="Montserrat" w:cs="Montserrat"/>
                <w:color w:val="000000" w:themeColor="text1" w:themeTint="FF" w:themeShade="FF"/>
              </w:rPr>
              <w:t>f</w:t>
            </w:r>
            <w:r w:rsidRPr="12195805" w:rsidR="00EF00B9">
              <w:rPr>
                <w:rFonts w:eastAsia="Montserrat" w:cs="Montserrat"/>
                <w:color w:val="000000" w:themeColor="text1" w:themeTint="FF" w:themeShade="FF"/>
              </w:rPr>
              <w:t xml:space="preserve"> the whole school Emergency Management Plan on their induction and whenever there are changes or updates to the plan. The Emergency Management is displayed in the preschool front office. </w:t>
            </w:r>
          </w:p>
          <w:p w:rsidR="00EF00B9" w:rsidP="00EF00B9" w:rsidRDefault="00EF00B9" w14:paraId="194D2BF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Instructions for emergency procedures and evacuation maps are clearly displayed at each preschool exit. </w:t>
            </w:r>
            <w:hyperlink r:id="rId20">
              <w:r>
                <w:rPr>
                  <w:rFonts w:eastAsia="Montserrat" w:cs="Montserrat"/>
                  <w:color w:val="000000"/>
                  <w:u w:val="single"/>
                </w:rPr>
                <w:t>education.nsw.gov.au/early-childhood-education/operating-an-early-childhood-education-service/emergency-management/resource-3</w:t>
              </w:r>
            </w:hyperlink>
            <w:r>
              <w:rPr>
                <w:rFonts w:eastAsia="Montserrat" w:cs="Montserrat"/>
                <w:color w:val="000000"/>
              </w:rPr>
              <w:t>)</w:t>
            </w:r>
          </w:p>
          <w:p w:rsidR="00EF00B9" w:rsidP="00EF00B9" w:rsidRDefault="00EF00B9" w14:paraId="1869774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Emergency contact phone numbers are displayed with the preschool landline phone. 000, Wilcannia Police, Wilcannia hospital, numbers are all displayed by the landline phone.</w:t>
            </w:r>
          </w:p>
          <w:p w:rsidR="00EF00B9" w:rsidP="00EF00B9" w:rsidRDefault="00EF00B9" w14:paraId="539C695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Information related to evacuation to the emergency assembly point / s is included in the risk management plan for visiting the school.</w:t>
            </w:r>
          </w:p>
          <w:p w:rsidR="00EF00B9" w:rsidP="00EF00B9" w:rsidRDefault="00EF00B9" w14:paraId="0ECF43C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A risk management plan is prepared annually related to potential emergencies related to the preschool. Emergencies included in the preschool plan are fire, flood, intruder, snake &amp; extreme weather. ECT updates the SAFETY Risk Assessment and Management Plan, a copy of this is stored in the preschool office.</w:t>
            </w:r>
          </w:p>
          <w:p w:rsidR="00EF00B9" w:rsidP="00EF00B9" w:rsidRDefault="00EF00B9" w14:paraId="633CB20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A serious incident notification will be made to Early Learning (phone 1300 083 698) within 24 hours when there has been an emergency at the preschool that posed a risk to the health, safety or wellbeing of the children or if emergency services attended the preschool.  </w:t>
            </w:r>
          </w:p>
        </w:tc>
      </w:tr>
      <w:tr w:rsidR="00EF00B9" w:rsidTr="12195805" w14:paraId="6AF739C6" w14:textId="77777777">
        <w:trPr>
          <w:cantSplit/>
        </w:trPr>
        <w:tc>
          <w:tcPr>
            <w:tcW w:w="1925" w:type="dxa"/>
            <w:tcMar/>
          </w:tcPr>
          <w:p w:rsidR="00EF00B9" w:rsidRDefault="00EF00B9" w14:paraId="36A903D2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Evacuation and emergency procedures rehearsals</w:t>
            </w:r>
          </w:p>
        </w:tc>
        <w:tc>
          <w:tcPr>
            <w:tcW w:w="8418" w:type="dxa"/>
            <w:gridSpan w:val="2"/>
            <w:tcMar/>
          </w:tcPr>
          <w:p w:rsidR="00EF00B9" w:rsidP="00EF00B9" w:rsidRDefault="00EF00B9" w14:paraId="2D886D8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Rehearsals for all emergency procedures and evacuations take place at least every 12 weeks (which is double the number required in the school).</w:t>
            </w:r>
          </w:p>
          <w:p w:rsidR="00EF00B9" w:rsidP="00EF00B9" w:rsidRDefault="00EF00B9" w14:paraId="71A9B9C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These take place at various times and days of the week and utilise different exit routes. </w:t>
            </w:r>
          </w:p>
          <w:p w:rsidR="00EF00B9" w:rsidP="00EF00B9" w:rsidRDefault="00EF00B9" w14:paraId="7704133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All staff, visitors, volunteers, children, and the responsible person in charge (principal) present at the time of a rehearsal, take part in the rehearsal.</w:t>
            </w:r>
          </w:p>
          <w:p w:rsidR="00EF00B9" w:rsidP="00EF00B9" w:rsidRDefault="00EF00B9" w14:paraId="5DC2148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Following a rehearsal an evaluation of it is made and documented. This documentation includes a list of the children and staff present and suggests any required modifications to the emergency procedures or evacuation. ECT maintains the documentation.  </w:t>
            </w:r>
            <w:hyperlink r:id="rId21">
              <w:r>
                <w:rPr>
                  <w:rFonts w:eastAsia="Montserrat" w:cs="Montserrat"/>
                  <w:color w:val="2F5496"/>
                  <w:u w:val="single"/>
                </w:rPr>
                <w:t>education.nsw.gov.au/early-childhood-education/operating-an-early-childhood-education-service/emergency-management</w:t>
              </w:r>
            </w:hyperlink>
            <w:r>
              <w:rPr>
                <w:rFonts w:eastAsia="Montserrat" w:cs="Montserrat"/>
                <w:color w:val="FF0000"/>
              </w:rPr>
              <w:t xml:space="preserve">. </w:t>
            </w:r>
            <w:r>
              <w:rPr>
                <w:rFonts w:eastAsia="Montserrat" w:cs="Montserrat"/>
                <w:color w:val="000000"/>
              </w:rPr>
              <w:t>Documentation is uploaded to ICE (by the no</w:t>
            </w:r>
            <w:r>
              <w:rPr>
                <w:rFonts w:eastAsia="Montserrat" w:cs="Montserrat"/>
              </w:rPr>
              <w:t>minated supervisor)</w:t>
            </w:r>
            <w:r>
              <w:rPr>
                <w:rFonts w:eastAsia="Montserrat" w:cs="Montserrat"/>
                <w:color w:val="000000"/>
              </w:rPr>
              <w:t xml:space="preserve"> and is kept in the Evacuation, Emergency and policies rehearsal</w:t>
            </w:r>
            <w:r>
              <w:rPr>
                <w:rFonts w:eastAsia="Montserrat" w:cs="Montserrat"/>
                <w:color w:val="FF0000"/>
              </w:rPr>
              <w:t xml:space="preserve"> </w:t>
            </w:r>
            <w:r>
              <w:rPr>
                <w:rFonts w:eastAsia="Montserrat" w:cs="Montserrat"/>
                <w:color w:val="000000"/>
              </w:rPr>
              <w:t>at the preschool.</w:t>
            </w:r>
          </w:p>
        </w:tc>
      </w:tr>
      <w:tr w:rsidR="00EF00B9" w:rsidTr="12195805" w14:paraId="23266442" w14:textId="77777777">
        <w:trPr>
          <w:cantSplit/>
        </w:trPr>
        <w:tc>
          <w:tcPr>
            <w:tcW w:w="1925" w:type="dxa"/>
            <w:tcMar/>
          </w:tcPr>
          <w:p w:rsidR="00EF00B9" w:rsidRDefault="00EF00B9" w14:paraId="511C3F60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During an evacuation</w:t>
            </w:r>
          </w:p>
        </w:tc>
        <w:tc>
          <w:tcPr>
            <w:tcW w:w="8418" w:type="dxa"/>
            <w:gridSpan w:val="2"/>
            <w:tcMar/>
          </w:tcPr>
          <w:p w:rsidR="00EF00B9" w:rsidP="00EF00B9" w:rsidRDefault="00EF00B9" w14:paraId="36B6BB7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The preschool follows the evacuation procedure noted in the whole school </w:t>
            </w:r>
            <w:r>
              <w:rPr>
                <w:rFonts w:eastAsia="Montserrat" w:cs="Montserrat"/>
                <w:i/>
                <w:color w:val="000000"/>
              </w:rPr>
              <w:t xml:space="preserve">Emergency Management Plan. </w:t>
            </w:r>
          </w:p>
          <w:p w:rsidR="00EF00B9" w:rsidP="00EF00B9" w:rsidRDefault="00EF00B9" w14:paraId="6F7F929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On evacuating, the following items are taken with the group:</w:t>
            </w:r>
          </w:p>
          <w:p w:rsidR="00EF00B9" w:rsidP="00EF00B9" w:rsidRDefault="00EF00B9" w14:paraId="6F855501" w14:textId="777777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arrivals and departures </w:t>
            </w:r>
            <w:proofErr w:type="gramStart"/>
            <w:r>
              <w:rPr>
                <w:rFonts w:eastAsia="Montserrat" w:cs="Montserrat"/>
                <w:color w:val="000000"/>
              </w:rPr>
              <w:t>register</w:t>
            </w:r>
            <w:proofErr w:type="gramEnd"/>
            <w:r>
              <w:rPr>
                <w:rFonts w:eastAsia="Montserrat" w:cs="Montserrat"/>
                <w:color w:val="000000"/>
              </w:rPr>
              <w:t xml:space="preserve"> </w:t>
            </w:r>
          </w:p>
          <w:p w:rsidR="00EF00B9" w:rsidP="00EF00B9" w:rsidRDefault="00EF00B9" w14:paraId="07DCF419" w14:textId="777777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first aid kit </w:t>
            </w:r>
          </w:p>
          <w:p w:rsidR="00EF00B9" w:rsidP="00EF00B9" w:rsidRDefault="00EF00B9" w14:paraId="5C5F88A8" w14:textId="777777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individual emergency medication and medical plans</w:t>
            </w:r>
          </w:p>
          <w:p w:rsidR="00EF00B9" w:rsidP="00EF00B9" w:rsidRDefault="00EF00B9" w14:paraId="11025BB1" w14:textId="777777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children’s emergency contacts</w:t>
            </w:r>
          </w:p>
          <w:p w:rsidR="00EF00B9" w:rsidRDefault="00EF00B9" w14:paraId="362595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ECT &amp; SLSO carries the above items.</w:t>
            </w:r>
          </w:p>
          <w:p w:rsidR="00EF00B9" w:rsidP="00EF00B9" w:rsidRDefault="00EF00B9" w14:paraId="1E92454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FF0000"/>
              </w:rPr>
            </w:pPr>
            <w:r>
              <w:rPr>
                <w:rFonts w:eastAsia="Montserrat" w:cs="Montserrat"/>
                <w:color w:val="000000"/>
              </w:rPr>
              <w:t xml:space="preserve">On hearing the signal to </w:t>
            </w:r>
            <w:r>
              <w:rPr>
                <w:rFonts w:eastAsia="Montserrat" w:cs="Montserrat"/>
                <w:i/>
                <w:color w:val="000000"/>
              </w:rPr>
              <w:t>evacuate</w:t>
            </w:r>
            <w:r>
              <w:rPr>
                <w:rFonts w:eastAsia="Montserrat" w:cs="Montserrat"/>
                <w:color w:val="000000"/>
              </w:rPr>
              <w:t xml:space="preserve">, the preschool educators instruct the children to assemble. The group assemble on the </w:t>
            </w:r>
            <w:r>
              <w:rPr>
                <w:rFonts w:eastAsia="Montserrat" w:cs="Montserrat"/>
              </w:rPr>
              <w:t>butterfly</w:t>
            </w:r>
            <w:r>
              <w:rPr>
                <w:rFonts w:eastAsia="Montserrat" w:cs="Montserrat"/>
                <w:color w:val="000000"/>
              </w:rPr>
              <w:t xml:space="preserve"> mat in front foyer and </w:t>
            </w:r>
            <w:proofErr w:type="gramStart"/>
            <w:r>
              <w:rPr>
                <w:rFonts w:eastAsia="Montserrat" w:cs="Montserrat"/>
                <w:color w:val="000000"/>
              </w:rPr>
              <w:t>await</w:t>
            </w:r>
            <w:proofErr w:type="gramEnd"/>
            <w:r>
              <w:rPr>
                <w:rFonts w:eastAsia="Montserrat" w:cs="Montserrat"/>
                <w:color w:val="000000"/>
              </w:rPr>
              <w:t xml:space="preserve"> for further instructions.</w:t>
            </w:r>
          </w:p>
          <w:p w:rsidR="00EF00B9" w:rsidP="00EF00B9" w:rsidRDefault="00EF00B9" w14:paraId="23E19F58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A head count is made on leaving the preschool premises and repeated periodically while away from the preschool site. (The group leave preschool in a single line with an educator at the front, and an educator at the end checking the premises are empty on leaving. </w:t>
            </w:r>
          </w:p>
          <w:p w:rsidR="00EF00B9" w:rsidP="00EF00B9" w:rsidRDefault="00EF00B9" w14:paraId="5E87DD4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The group follows the evacuation route to the designated assembly point. The group waits here until instructed to do otherwise by the principal.</w:t>
            </w:r>
          </w:p>
          <w:p w:rsidR="00EF00B9" w:rsidRDefault="00EF00B9" w14:paraId="0D0B940D" w14:textId="77777777">
            <w:pPr>
              <w:spacing w:before="120" w:line="276" w:lineRule="auto"/>
              <w:rPr>
                <w:color w:val="000000"/>
                <w:highlight w:val="white"/>
              </w:rPr>
            </w:pPr>
          </w:p>
        </w:tc>
      </w:tr>
      <w:tr w:rsidR="00EF00B9" w:rsidTr="12195805" w14:paraId="468DE90C" w14:textId="77777777">
        <w:trPr>
          <w:cantSplit/>
        </w:trPr>
        <w:tc>
          <w:tcPr>
            <w:tcW w:w="1925" w:type="dxa"/>
            <w:tcMar/>
          </w:tcPr>
          <w:p w:rsidR="00EF00B9" w:rsidRDefault="00EF00B9" w14:paraId="551A1E26" w14:textId="77777777">
            <w:pPr>
              <w:rPr>
                <w:color w:val="FF0000"/>
              </w:rPr>
            </w:pPr>
            <w:r>
              <w:rPr>
                <w:b/>
              </w:rPr>
              <w:t>During an emergency lock-out</w:t>
            </w:r>
            <w:r>
              <w:t xml:space="preserve"> (if done by school)</w:t>
            </w:r>
          </w:p>
        </w:tc>
        <w:tc>
          <w:tcPr>
            <w:tcW w:w="8418" w:type="dxa"/>
            <w:gridSpan w:val="2"/>
            <w:tcMar/>
          </w:tcPr>
          <w:p w:rsidR="00EF00B9" w:rsidP="00EF00B9" w:rsidRDefault="00EF00B9" w14:paraId="681ECED7" w14:textId="3DFB98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On hearing the signal to </w:t>
            </w:r>
            <w:r w:rsidRPr="62C0EE2A">
              <w:rPr>
                <w:rFonts w:eastAsia="Montserrat" w:cs="Montserrat"/>
                <w:i/>
                <w:iCs/>
                <w:color w:val="000000" w:themeColor="text1"/>
              </w:rPr>
              <w:t>lock</w:t>
            </w:r>
            <w:r w:rsidR="009F5133">
              <w:rPr>
                <w:rFonts w:eastAsia="Montserrat" w:cs="Montserrat"/>
                <w:i/>
                <w:iCs/>
                <w:color w:val="000000" w:themeColor="text1"/>
              </w:rPr>
              <w:t>out</w:t>
            </w:r>
            <w:r w:rsidRPr="62C0EE2A">
              <w:rPr>
                <w:rFonts w:eastAsia="Montserrat" w:cs="Montserrat"/>
                <w:color w:val="000000" w:themeColor="text1"/>
              </w:rPr>
              <w:t>, educators take the necessary steps to lock all external gates and doors.</w:t>
            </w:r>
          </w:p>
          <w:p w:rsidR="00EF00B9" w:rsidP="00EF00B9" w:rsidRDefault="00EF00B9" w14:paraId="159A390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(note preschool - specific instructions, based on the school’s </w:t>
            </w:r>
            <w:r>
              <w:rPr>
                <w:rFonts w:eastAsia="Montserrat" w:cs="Montserrat"/>
                <w:i/>
                <w:color w:val="000000"/>
              </w:rPr>
              <w:t>Emergency Management Plan</w:t>
            </w:r>
            <w:r>
              <w:rPr>
                <w:rFonts w:eastAsia="Montserrat" w:cs="Montserrat"/>
                <w:color w:val="000000"/>
              </w:rPr>
              <w:t>)</w:t>
            </w:r>
          </w:p>
          <w:p w:rsidR="00EF00B9" w:rsidRDefault="00EF00B9" w14:paraId="0E27B0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Montserrat" w:cs="Montserrat"/>
                <w:color w:val="FF0000"/>
              </w:rPr>
            </w:pPr>
          </w:p>
        </w:tc>
      </w:tr>
      <w:tr w:rsidR="00EF00B9" w:rsidTr="12195805" w14:paraId="0D6BEB3D" w14:textId="77777777">
        <w:trPr>
          <w:cantSplit/>
        </w:trPr>
        <w:tc>
          <w:tcPr>
            <w:tcW w:w="1925" w:type="dxa"/>
            <w:tcMar/>
          </w:tcPr>
          <w:p w:rsidR="00EF00B9" w:rsidRDefault="00EF00B9" w14:paraId="2725D556" w14:textId="77777777">
            <w:pPr>
              <w:rPr>
                <w:b/>
              </w:rPr>
            </w:pPr>
            <w:r>
              <w:rPr>
                <w:b/>
              </w:rPr>
              <w:t>During an emergency lockdown</w:t>
            </w:r>
          </w:p>
        </w:tc>
        <w:tc>
          <w:tcPr>
            <w:tcW w:w="8418" w:type="dxa"/>
            <w:gridSpan w:val="2"/>
            <w:tcMar/>
          </w:tcPr>
          <w:p w:rsidR="00EF00B9" w:rsidP="00EF00B9" w:rsidRDefault="00EF00B9" w14:paraId="40CC5490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On hearing the signal to </w:t>
            </w:r>
            <w:r>
              <w:rPr>
                <w:rFonts w:eastAsia="Montserrat" w:cs="Montserrat"/>
                <w:i/>
                <w:color w:val="000000"/>
              </w:rPr>
              <w:t>lockdown</w:t>
            </w:r>
            <w:r>
              <w:rPr>
                <w:rFonts w:eastAsia="Montserrat" w:cs="Montserrat"/>
                <w:color w:val="000000"/>
              </w:rPr>
              <w:t>, the educators direct the children and anyone else present in the preschool to the identified shelter location</w:t>
            </w:r>
            <w:r>
              <w:rPr>
                <w:rFonts w:eastAsia="Montserrat" w:cs="Montserrat"/>
                <w:color w:val="FF0000"/>
              </w:rPr>
              <w:t xml:space="preserve">.  </w:t>
            </w:r>
            <w:r>
              <w:rPr>
                <w:rFonts w:eastAsia="Montserrat" w:cs="Montserrat"/>
                <w:color w:val="000000"/>
              </w:rPr>
              <w:t>The location is in the hallway in main building of preschool.</w:t>
            </w:r>
          </w:p>
          <w:p w:rsidR="00EF00B9" w:rsidRDefault="00EF00B9" w14:paraId="60061E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20"/>
              <w:rPr>
                <w:color w:val="FF0000"/>
              </w:rPr>
            </w:pPr>
          </w:p>
        </w:tc>
      </w:tr>
    </w:tbl>
    <w:p w:rsidR="00EF00B9" w:rsidRDefault="00EF00B9" w14:paraId="44EAFD9C" w14:textId="77777777"/>
    <w:tbl>
      <w:tblPr>
        <w:tblW w:w="10318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EF00B9" w:rsidTr="2B7AF9DD" w14:paraId="4193A59B" w14:textId="77777777">
        <w:trPr>
          <w:cantSplit/>
          <w:tblHeader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EF00B9" w:rsidRDefault="00EF00B9" w14:paraId="42D9B4F2" w14:textId="77777777">
            <w:pPr>
              <w:spacing w:before="192" w:after="192" w:line="276" w:lineRule="auto"/>
              <w:rPr>
                <w:b/>
                <w:color w:val="FFFFFF"/>
              </w:rPr>
            </w:pPr>
            <w:r>
              <w:rPr>
                <w:color w:val="FFFFFF"/>
              </w:rPr>
              <w:t>Record of procedure’s review</w:t>
            </w:r>
          </w:p>
        </w:tc>
      </w:tr>
      <w:tr w:rsidR="00EF00B9" w:rsidTr="2B7AF9DD" w14:paraId="6D6F3AE4" w14:textId="77777777">
        <w:trPr>
          <w:cantSplit/>
        </w:trPr>
        <w:tc>
          <w:tcPr>
            <w:tcW w:w="10318" w:type="dxa"/>
            <w:shd w:val="clear" w:color="auto" w:fill="DEEBF6"/>
          </w:tcPr>
          <w:p w:rsidR="00EF00B9" w:rsidRDefault="00EF00B9" w14:paraId="160F0AB5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of review and who was involved</w:t>
            </w:r>
          </w:p>
        </w:tc>
      </w:tr>
      <w:tr w:rsidR="00EF00B9" w:rsidTr="2B7AF9DD" w14:paraId="1F5DE2F5" w14:textId="77777777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B9" w:rsidRDefault="00EF00B9" w14:paraId="143EF7C4" w14:textId="77777777">
            <w:pPr>
              <w:spacing w:line="276" w:lineRule="auto"/>
            </w:pPr>
            <w:r>
              <w:t>03/03/23 Cara Becroft</w:t>
            </w:r>
          </w:p>
        </w:tc>
      </w:tr>
      <w:tr w:rsidR="00EF00B9" w:rsidTr="2B7AF9DD" w14:paraId="2270E7F6" w14:textId="77777777">
        <w:trPr>
          <w:cantSplit/>
        </w:trPr>
        <w:tc>
          <w:tcPr>
            <w:tcW w:w="10318" w:type="dxa"/>
            <w:shd w:val="clear" w:color="auto" w:fill="DEEBF6"/>
          </w:tcPr>
          <w:p w:rsidR="00EF00B9" w:rsidRDefault="00EF00B9" w14:paraId="3742994B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Key changes made and reason/s </w:t>
            </w:r>
            <w:proofErr w:type="gramStart"/>
            <w:r>
              <w:rPr>
                <w:b/>
              </w:rPr>
              <w:t>why</w:t>
            </w:r>
            <w:proofErr w:type="gramEnd"/>
          </w:p>
        </w:tc>
      </w:tr>
      <w:tr w:rsidR="00EF00B9" w:rsidTr="2B7AF9DD" w14:paraId="4B94D5A5" w14:textId="77777777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B9" w:rsidRDefault="00EF00B9" w14:paraId="3DEEC669" w14:textId="77777777">
            <w:pPr>
              <w:spacing w:line="276" w:lineRule="auto"/>
            </w:pPr>
          </w:p>
        </w:tc>
      </w:tr>
      <w:tr w:rsidR="00EF00B9" w:rsidTr="2B7AF9DD" w14:paraId="09F6451C" w14:textId="77777777">
        <w:trPr>
          <w:cantSplit/>
        </w:trPr>
        <w:tc>
          <w:tcPr>
            <w:tcW w:w="10318" w:type="dxa"/>
            <w:shd w:val="clear" w:color="auto" w:fill="DEEBF6"/>
          </w:tcPr>
          <w:p w:rsidR="00EF00B9" w:rsidRDefault="00EF00B9" w14:paraId="085DEDE6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 of communication of significant changes to relevant stakeholders</w:t>
            </w:r>
          </w:p>
        </w:tc>
      </w:tr>
      <w:tr w:rsidR="00EF00B9" w:rsidTr="2B7AF9DD" w14:paraId="3656B9AB" w14:textId="77777777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B9" w:rsidRDefault="00EF00B9" w14:paraId="45FB0818" w14:textId="77777777">
            <w:pPr>
              <w:spacing w:before="192" w:line="276" w:lineRule="auto"/>
            </w:pPr>
          </w:p>
        </w:tc>
      </w:tr>
    </w:tbl>
    <w:p w:rsidR="00EF00B9" w:rsidP="7152D1CF" w:rsidRDefault="4FF6FF55" w14:paraId="1A31B758" w14:textId="1CE19F16">
      <w:pPr>
        <w:pStyle w:val="Heading4"/>
        <w:rPr>
          <w:rFonts w:ascii="Calibri Light" w:hAnsi="Calibri Light" w:eastAsia="Calibri Light" w:cs="Calibri Light"/>
          <w:lang w:val="en-US"/>
        </w:rPr>
      </w:pPr>
      <w:r>
        <w:t>Record of procedure’s review (master – copy before use)</w:t>
      </w:r>
    </w:p>
    <w:tbl>
      <w:tblPr>
        <w:tblStyle w:val="PlainTable1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8250"/>
      </w:tblGrid>
      <w:tr w:rsidR="2B7AF9DD" w:rsidTr="2B7AF9DD" w14:paraId="598B80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7D6BB553" w14:textId="18147CAB">
            <w:pPr>
              <w:spacing w:before="240" w:after="120" w:line="360" w:lineRule="auto"/>
              <w:rPr>
                <w:rFonts w:ascii="Arial" w:hAnsi="Arial" w:eastAsia="Arial" w:cs="Arial"/>
                <w:lang w:val="en-US"/>
              </w:rPr>
            </w:pPr>
            <w:r w:rsidRPr="2B7AF9DD">
              <w:rPr>
                <w:rFonts w:ascii="Arial" w:hAnsi="Arial" w:eastAsia="Arial" w:cs="Arial"/>
              </w:rPr>
              <w:t>Date of review</w:t>
            </w:r>
          </w:p>
        </w:tc>
        <w:tc>
          <w:tcPr>
            <w:tcW w:w="8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76055866" w14:textId="61E439BB">
            <w:pPr>
              <w:spacing w:before="24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lang w:val="en-US"/>
              </w:rPr>
            </w:pPr>
          </w:p>
        </w:tc>
      </w:tr>
      <w:tr w:rsidR="2B7AF9DD" w:rsidTr="2B7AF9DD" w14:paraId="106313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6B720F8D" w14:textId="42186796">
            <w:pPr>
              <w:spacing w:before="240" w:after="120" w:line="360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Who was involved</w:t>
            </w:r>
          </w:p>
        </w:tc>
        <w:tc>
          <w:tcPr>
            <w:tcW w:w="8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050F2FA4" w14:textId="76178C10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lang w:val="en-US"/>
              </w:rPr>
            </w:pPr>
            <w:r w:rsidRPr="2B7AF9DD">
              <w:rPr>
                <w:rFonts w:ascii="Arial" w:hAnsi="Arial" w:eastAsia="Arial" w:cs="Arial"/>
              </w:rPr>
              <w:t xml:space="preserve">ECT in consultation with the preschool supervisor and preschool educator team. </w:t>
            </w:r>
          </w:p>
          <w:p w:rsidR="2B7AF9DD" w:rsidP="2B7AF9DD" w:rsidRDefault="2B7AF9DD" w14:paraId="78916515" w14:textId="04268703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lang w:val="en-US"/>
              </w:rPr>
            </w:pPr>
            <w:r w:rsidRPr="2B7AF9DD">
              <w:rPr>
                <w:rFonts w:ascii="Arial" w:hAnsi="Arial" w:eastAsia="Arial" w:cs="Arial"/>
              </w:rPr>
              <w:t>The principal approved changes and access to current procedures is available to the executive team and anyone who may relieve in the preschool.</w:t>
            </w:r>
          </w:p>
        </w:tc>
      </w:tr>
      <w:tr w:rsidR="2B7AF9DD" w:rsidTr="2B7AF9DD" w14:paraId="49B85B01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3C6CE3DC" w14:textId="17CDEB3D">
            <w:pPr>
              <w:spacing w:before="240" w:after="120" w:line="360" w:lineRule="auto"/>
              <w:rPr>
                <w:rFonts w:ascii="Arial" w:hAnsi="Arial" w:eastAsia="Arial" w:cs="Arial"/>
                <w:lang w:val="en-US"/>
              </w:rPr>
            </w:pPr>
            <w:r w:rsidRPr="2B7AF9DD">
              <w:rPr>
                <w:rFonts w:ascii="Arial" w:hAnsi="Arial" w:eastAsia="Arial" w:cs="Arial"/>
              </w:rPr>
              <w:t>Key changes made and reason why</w:t>
            </w:r>
          </w:p>
        </w:tc>
        <w:tc>
          <w:tcPr>
            <w:tcW w:w="8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36672675" w14:textId="7EFAB477">
            <w:pPr>
              <w:spacing w:before="24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lang w:val="en-US"/>
              </w:rPr>
            </w:pPr>
            <w:r w:rsidRPr="2B7AF9DD">
              <w:rPr>
                <w:rFonts w:ascii="Arial" w:hAnsi="Arial" w:eastAsia="Arial" w:cs="Arial"/>
              </w:rPr>
              <w:t xml:space="preserve"> </w:t>
            </w:r>
          </w:p>
        </w:tc>
      </w:tr>
      <w:tr w:rsidR="2B7AF9DD" w:rsidTr="2B7AF9DD" w14:paraId="44D5BA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23A130EF" w14:textId="2117A1D7">
            <w:pPr>
              <w:spacing w:before="240" w:after="120" w:line="360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Record of communication of significant changes to relevant stakeholders</w:t>
            </w:r>
          </w:p>
        </w:tc>
        <w:tc>
          <w:tcPr>
            <w:tcW w:w="8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7AF9DD" w:rsidP="2B7AF9DD" w:rsidRDefault="2B7AF9DD" w14:paraId="12D45F35" w14:textId="0F53F39C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Principal:</w:t>
            </w:r>
          </w:p>
          <w:p w:rsidR="2B7AF9DD" w:rsidP="2B7AF9DD" w:rsidRDefault="2B7AF9DD" w14:paraId="115CBBD3" w14:textId="199646EE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Staff:</w:t>
            </w:r>
          </w:p>
          <w:p w:rsidR="2B7AF9DD" w:rsidP="2B7AF9DD" w:rsidRDefault="2B7AF9DD" w14:paraId="29F6E1BF" w14:textId="284A0070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Parents:</w:t>
            </w:r>
          </w:p>
          <w:p w:rsidR="2B7AF9DD" w:rsidP="2B7AF9DD" w:rsidRDefault="2B7AF9DD" w14:paraId="0A63B43F" w14:textId="5B26FCE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B7AF9DD">
              <w:rPr>
                <w:rFonts w:ascii="Arial" w:hAnsi="Arial" w:eastAsia="Arial" w:cs="Arial"/>
                <w:color w:val="000000" w:themeColor="text1"/>
              </w:rPr>
              <w:t>Please note, parents must be notified at least 14 days prior to a change that may have a significant impact on their service’s provision of education and care or a family’s ability to use the service.</w:t>
            </w:r>
          </w:p>
        </w:tc>
      </w:tr>
    </w:tbl>
    <w:p w:rsidR="00EF00B9" w:rsidP="2B7AF9DD" w:rsidRDefault="00EF00B9" w14:paraId="53128261" w14:textId="6145ED99"/>
    <w:p w:rsidR="00EF00B9" w:rsidP="005C00D0" w:rsidRDefault="00EF00B9" w14:paraId="62486C05" w14:textId="77777777">
      <w:pPr>
        <w:sectPr w:rsidR="00EF00B9" w:rsidSect="008D3E2C">
          <w:type w:val="continuous"/>
          <w:pgSz w:w="11900" w:h="16840" w:orient="portrait"/>
          <w:pgMar w:top="1134" w:right="851" w:bottom="851" w:left="851" w:header="567" w:footer="0" w:gutter="0"/>
          <w:cols w:space="720"/>
          <w:titlePg/>
        </w:sectPr>
      </w:pPr>
      <w:bookmarkStart w:name="_heading=h.32rsoto" w:colFirst="0" w:colLast="0" w:id="0"/>
      <w:bookmarkEnd w:id="0"/>
    </w:p>
    <w:p w:rsidR="00D16D83" w:rsidRDefault="00D16D83" w14:paraId="4101652C" w14:textId="77777777"/>
    <w:sectPr w:rsidR="00D16D8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486"/>
    <w:multiLevelType w:val="multilevel"/>
    <w:tmpl w:val="8B28E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8651846"/>
    <w:multiLevelType w:val="multilevel"/>
    <w:tmpl w:val="C518E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A961CC2"/>
    <w:multiLevelType w:val="multilevel"/>
    <w:tmpl w:val="C4CA1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0B21A61"/>
    <w:multiLevelType w:val="multilevel"/>
    <w:tmpl w:val="849CB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611551085">
    <w:abstractNumId w:val="2"/>
  </w:num>
  <w:num w:numId="2" w16cid:durableId="2037383338">
    <w:abstractNumId w:val="3"/>
  </w:num>
  <w:num w:numId="3" w16cid:durableId="404378379">
    <w:abstractNumId w:val="0"/>
  </w:num>
  <w:num w:numId="4" w16cid:durableId="18016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9"/>
    <w:rsid w:val="008D3E2C"/>
    <w:rsid w:val="009F5133"/>
    <w:rsid w:val="00D16D83"/>
    <w:rsid w:val="00EF00B9"/>
    <w:rsid w:val="0D3825A8"/>
    <w:rsid w:val="12195805"/>
    <w:rsid w:val="2B7AF9DD"/>
    <w:rsid w:val="4FF6FF55"/>
    <w:rsid w:val="58129770"/>
    <w:rsid w:val="7152D1CF"/>
    <w:rsid w:val="77E78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335F"/>
  <w15:chartTrackingRefBased/>
  <w15:docId w15:val="{61E86ECB-E78C-401D-924A-FE84BF6D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aliases w:val="ŠHeading 3"/>
    <w:basedOn w:val="Normal"/>
    <w:next w:val="Normal"/>
    <w:link w:val="Heading3Char"/>
    <w:uiPriority w:val="9"/>
    <w:unhideWhenUsed/>
    <w:qFormat/>
    <w:rsid w:val="00EF00B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360" w:line="240" w:lineRule="auto"/>
      <w:outlineLvl w:val="2"/>
    </w:pPr>
    <w:rPr>
      <w:rFonts w:ascii="Montserrat" w:hAnsi="Montserrat" w:eastAsia="SimSun" w:cs="Times New Roman"/>
      <w:b/>
      <w:bCs/>
      <w:color w:val="1C428A"/>
      <w:kern w:val="0"/>
      <w:sz w:val="32"/>
      <w:szCs w:val="4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aliases w:val="ŠHeading 3 Char"/>
    <w:basedOn w:val="DefaultParagraphFont"/>
    <w:link w:val="Heading3"/>
    <w:uiPriority w:val="9"/>
    <w:rsid w:val="00EF00B9"/>
    <w:rPr>
      <w:rFonts w:ascii="Montserrat" w:hAnsi="Montserrat" w:eastAsia="SimSun" w:cs="Times New Roman"/>
      <w:b/>
      <w:bCs/>
      <w:color w:val="1C428A"/>
      <w:kern w:val="0"/>
      <w:sz w:val="32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acecqa.gov.au/sites/default/files/2023-07/PolicyGuidelines_EmergencyAndEvacuation.pdf" TargetMode="External" Id="rId13" /><Relationship Type="http://schemas.openxmlformats.org/officeDocument/2006/relationships/hyperlink" Target="https://education.nsw.gov.au/early-childhood-education/operating-an-early-childhood-education-service/emergency-management/resource-4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education.nsw.gov.au/early-childhood-education/operating-an-early-childhood-education-service/emergency-management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education.nsw.gov.au/early-childhood-education/operating-an-early-childhood-education-service/current-service-providers/emergency/plan/resource-4" TargetMode="External" Id="rId12" /><Relationship Type="http://schemas.openxmlformats.org/officeDocument/2006/relationships/hyperlink" Target="https://education.nsw.gov.au/early-childhood-education/operating-an-early-childhood-education-service/emergency-management/resource-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education.nsw.gov.au/early-childhood-education/operating-an-early-childhood-education-service/emergency-management/resource-2" TargetMode="External" Id="rId16" /><Relationship Type="http://schemas.openxmlformats.org/officeDocument/2006/relationships/hyperlink" Target="https://education.nsw.gov.au/early-childhood-education/operating-an-early-childhood-education-service/emergency-management/resource-3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ducation.nsw.gov.au/early-childhood-education/operating-an-early-childhood-education-service/current-service-providers/emergency/plan/resource-1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education.nsw.gov.au/early-childhood-education/operating-an-early-childhood-education-service/emergency-management/resource-1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education.nsw.gov.au/inside-the-department/health-and-safety/emergency-planning-and-incident-response/emergency-management-procedures" TargetMode="External" Id="rId10" /><Relationship Type="http://schemas.openxmlformats.org/officeDocument/2006/relationships/hyperlink" Target="https://education.nsw.gov.au/early-childhood-education/operating-an-early-childhood-education-service/emergency-management/resource-4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education.nsw.gov.au/inside-the-department/teaching-and-learning/leading-and-operating-department-preschool-guidelines" TargetMode="External" Id="rId9" /><Relationship Type="http://schemas.openxmlformats.org/officeDocument/2006/relationships/hyperlink" Target="https://education.nsw.gov.au/early-childhood-education/operating-an-early-childhood-education-service/emergency-management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95734E01A0449B230A39EF4BDF79" ma:contentTypeVersion="16" ma:contentTypeDescription="Create a new document." ma:contentTypeScope="" ma:versionID="b95cdaaf9d72b8c9e4e466c0ad315fe5">
  <xsd:schema xmlns:xsd="http://www.w3.org/2001/XMLSchema" xmlns:xs="http://www.w3.org/2001/XMLSchema" xmlns:p="http://schemas.microsoft.com/office/2006/metadata/properties" xmlns:ns2="c241b316-af45-4972-bf73-68e7ceaf679a" xmlns:ns3="be079ddb-ab8d-4652-aade-093eea2234ad" targetNamespace="http://schemas.microsoft.com/office/2006/metadata/properties" ma:root="true" ma:fieldsID="0ab803ca54af064967f9a69957017e0e" ns2:_="" ns3:_="">
    <xsd:import namespace="c241b316-af45-4972-bf73-68e7ceaf679a"/>
    <xsd:import namespace="be079ddb-ab8d-4652-aade-093eea223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b316-af45-4972-bf73-68e7ceaf6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9ddb-ab8d-4652-aade-093eea2234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bdbf80-72c1-48e2-8187-cc0e72f8b850}" ma:internalName="TaxCatchAll" ma:showField="CatchAllData" ma:web="be079ddb-ab8d-4652-aade-093eea223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79ddb-ab8d-4652-aade-093eea2234ad" xsi:nil="true"/>
    <lcf76f155ced4ddcb4097134ff3c332f xmlns="c241b316-af45-4972-bf73-68e7ceaf679a">
      <Terms xmlns="http://schemas.microsoft.com/office/infopath/2007/PartnerControls"/>
    </lcf76f155ced4ddcb4097134ff3c332f>
    <Photo xmlns="c241b316-af45-4972-bf73-68e7ceaf679a" xsi:nil="true"/>
  </documentManagement>
</p:properties>
</file>

<file path=customXml/itemProps1.xml><?xml version="1.0" encoding="utf-8"?>
<ds:datastoreItem xmlns:ds="http://schemas.openxmlformats.org/officeDocument/2006/customXml" ds:itemID="{858C5BAB-ABA3-4806-AC52-C361FAED0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C5069-4FB1-418B-9B40-73DD50E3A5C8}"/>
</file>

<file path=customXml/itemProps3.xml><?xml version="1.0" encoding="utf-8"?>
<ds:datastoreItem xmlns:ds="http://schemas.openxmlformats.org/officeDocument/2006/customXml" ds:itemID="{065F27BB-B088-4B72-9B98-AC2E7062FAA6}">
  <ds:schemaRefs>
    <ds:schemaRef ds:uri="http://schemas.microsoft.com/office/2006/metadata/properties"/>
    <ds:schemaRef ds:uri="http://schemas.microsoft.com/office/infopath/2007/PartnerControls"/>
    <ds:schemaRef ds:uri="be079ddb-ab8d-4652-aade-093eea2234ad"/>
    <ds:schemaRef ds:uri="c241b316-af45-4972-bf73-68e7ceaf679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Rylee Wall</dc:creator>
  <keywords/>
  <dc:description/>
  <lastModifiedBy>Katie Bassett-White (Katie White)</lastModifiedBy>
  <revision>5</revision>
  <dcterms:created xsi:type="dcterms:W3CDTF">2023-07-31T01:05:00.0000000Z</dcterms:created>
  <dcterms:modified xsi:type="dcterms:W3CDTF">2024-10-10T07:29:36.6873825Z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0x010100978E95734E01A0449B230A39EF4BDF79</vt:lpwstr>
  </property>
  <property fmtid="{D5CDD505-2E9C-101B-9397-08002B2CF9AE}" pid="3" name="MediaServiceImageTags">
    <vt:lpwstr/>
  </property>
</Properties>
</file>